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DC10" w14:textId="77777777" w:rsidR="003D1600" w:rsidRDefault="003D1600"/>
    <w:tbl>
      <w:tblPr>
        <w:tblStyle w:val="TableGrid"/>
        <w:tblW w:w="0" w:type="auto"/>
        <w:tblLook w:val="04A0" w:firstRow="1" w:lastRow="0" w:firstColumn="1" w:lastColumn="0" w:noHBand="0" w:noVBand="1"/>
      </w:tblPr>
      <w:tblGrid>
        <w:gridCol w:w="2376"/>
        <w:gridCol w:w="3148"/>
        <w:gridCol w:w="1984"/>
        <w:gridCol w:w="2977"/>
        <w:gridCol w:w="2126"/>
        <w:gridCol w:w="2552"/>
      </w:tblGrid>
      <w:tr w:rsidR="00CA0284" w14:paraId="7FCE3A81" w14:textId="719FAD73" w:rsidTr="007770F5">
        <w:trPr>
          <w:trHeight w:val="536"/>
        </w:trPr>
        <w:tc>
          <w:tcPr>
            <w:tcW w:w="2376" w:type="dxa"/>
            <w:shd w:val="clear" w:color="auto" w:fill="A5C9EB" w:themeFill="text2" w:themeFillTint="40"/>
            <w:vAlign w:val="center"/>
          </w:tcPr>
          <w:p w14:paraId="211ABDB0" w14:textId="3D0C7540" w:rsidR="00CA0284" w:rsidRPr="009E6233" w:rsidRDefault="00CA0284" w:rsidP="00D97354">
            <w:pPr>
              <w:jc w:val="center"/>
              <w:rPr>
                <w:b/>
                <w:bCs/>
                <w:sz w:val="24"/>
                <w:szCs w:val="24"/>
              </w:rPr>
            </w:pPr>
            <w:r w:rsidRPr="009E6233">
              <w:rPr>
                <w:b/>
                <w:bCs/>
                <w:sz w:val="24"/>
                <w:szCs w:val="24"/>
              </w:rPr>
              <w:t>Name &amp; Surname</w:t>
            </w:r>
          </w:p>
        </w:tc>
        <w:tc>
          <w:tcPr>
            <w:tcW w:w="3148" w:type="dxa"/>
            <w:vAlign w:val="center"/>
          </w:tcPr>
          <w:p w14:paraId="4634AFC9" w14:textId="77777777" w:rsidR="00CA0284" w:rsidRPr="009E6233" w:rsidRDefault="00CA0284" w:rsidP="00D97354">
            <w:pPr>
              <w:jc w:val="center"/>
              <w:rPr>
                <w:b/>
                <w:bCs/>
                <w:sz w:val="24"/>
                <w:szCs w:val="24"/>
              </w:rPr>
            </w:pPr>
          </w:p>
        </w:tc>
        <w:tc>
          <w:tcPr>
            <w:tcW w:w="1984" w:type="dxa"/>
            <w:shd w:val="clear" w:color="auto" w:fill="A5C9EB" w:themeFill="text2" w:themeFillTint="40"/>
            <w:vAlign w:val="center"/>
          </w:tcPr>
          <w:p w14:paraId="19EBDBA9" w14:textId="42A0E964" w:rsidR="00CA0284" w:rsidRPr="009E6233" w:rsidRDefault="00CA0284" w:rsidP="00D97354">
            <w:pPr>
              <w:jc w:val="center"/>
              <w:rPr>
                <w:b/>
                <w:bCs/>
                <w:sz w:val="24"/>
                <w:szCs w:val="24"/>
              </w:rPr>
            </w:pPr>
            <w:r w:rsidRPr="009E6233">
              <w:rPr>
                <w:b/>
                <w:bCs/>
                <w:sz w:val="24"/>
                <w:szCs w:val="24"/>
              </w:rPr>
              <w:t>Trainer Name</w:t>
            </w:r>
          </w:p>
        </w:tc>
        <w:tc>
          <w:tcPr>
            <w:tcW w:w="2977" w:type="dxa"/>
            <w:vAlign w:val="center"/>
          </w:tcPr>
          <w:p w14:paraId="3B877D43" w14:textId="77777777" w:rsidR="00CA0284" w:rsidRPr="009E6233" w:rsidRDefault="00CA0284" w:rsidP="00D97354">
            <w:pPr>
              <w:jc w:val="center"/>
              <w:rPr>
                <w:b/>
                <w:bCs/>
                <w:sz w:val="24"/>
                <w:szCs w:val="24"/>
              </w:rPr>
            </w:pPr>
          </w:p>
        </w:tc>
        <w:tc>
          <w:tcPr>
            <w:tcW w:w="2126" w:type="dxa"/>
            <w:shd w:val="clear" w:color="auto" w:fill="A5C9EB" w:themeFill="text2" w:themeFillTint="40"/>
            <w:vAlign w:val="center"/>
          </w:tcPr>
          <w:p w14:paraId="0856AA41" w14:textId="322668A9" w:rsidR="00CA0284" w:rsidRPr="009E6233" w:rsidRDefault="00CA0284" w:rsidP="00D97354">
            <w:pPr>
              <w:jc w:val="center"/>
              <w:rPr>
                <w:b/>
                <w:bCs/>
                <w:sz w:val="24"/>
                <w:szCs w:val="24"/>
              </w:rPr>
            </w:pPr>
            <w:r w:rsidRPr="009E6233">
              <w:rPr>
                <w:b/>
                <w:bCs/>
                <w:sz w:val="24"/>
                <w:szCs w:val="24"/>
              </w:rPr>
              <w:t>Date of Course</w:t>
            </w:r>
          </w:p>
        </w:tc>
        <w:tc>
          <w:tcPr>
            <w:tcW w:w="2552" w:type="dxa"/>
            <w:vAlign w:val="center"/>
          </w:tcPr>
          <w:p w14:paraId="15CE0699" w14:textId="77777777" w:rsidR="00CA0284" w:rsidRPr="009E6233" w:rsidRDefault="00CA0284" w:rsidP="00D97354">
            <w:pPr>
              <w:jc w:val="center"/>
              <w:rPr>
                <w:sz w:val="24"/>
                <w:szCs w:val="24"/>
              </w:rPr>
            </w:pPr>
          </w:p>
        </w:tc>
      </w:tr>
    </w:tbl>
    <w:p w14:paraId="373CCD85" w14:textId="77777777" w:rsidR="009E6233" w:rsidRDefault="009E6233"/>
    <w:p w14:paraId="6F93335D" w14:textId="63A9CADF" w:rsidR="00CA0284" w:rsidRPr="009E6233" w:rsidRDefault="00CA0284" w:rsidP="009E6233">
      <w:pPr>
        <w:jc w:val="center"/>
        <w:rPr>
          <w:b/>
          <w:bCs/>
          <w:sz w:val="28"/>
          <w:szCs w:val="28"/>
        </w:rPr>
      </w:pPr>
      <w:r w:rsidRPr="009E6233">
        <w:rPr>
          <w:b/>
          <w:bCs/>
          <w:sz w:val="28"/>
          <w:szCs w:val="28"/>
        </w:rPr>
        <w:t xml:space="preserve">Please rate your knowledge from 1-5 for both </w:t>
      </w:r>
      <w:r w:rsidR="009E6233">
        <w:rPr>
          <w:b/>
          <w:bCs/>
          <w:sz w:val="28"/>
          <w:szCs w:val="28"/>
        </w:rPr>
        <w:t>before and after the course</w:t>
      </w:r>
    </w:p>
    <w:p w14:paraId="128E85C8" w14:textId="2CD3AD26" w:rsidR="009E6233" w:rsidRDefault="009E6233" w:rsidP="009E6233">
      <w:pPr>
        <w:jc w:val="center"/>
        <w:rPr>
          <w:sz w:val="24"/>
          <w:szCs w:val="24"/>
        </w:rPr>
      </w:pPr>
      <w:r w:rsidRPr="009E6233">
        <w:rPr>
          <w:sz w:val="24"/>
          <w:szCs w:val="24"/>
        </w:rPr>
        <w:t>1 = not at all familiar, 2 = slightly familiar, 3 = somewhat familiar, 4 = moderately familiar, 5= extremely familiar</w:t>
      </w:r>
    </w:p>
    <w:tbl>
      <w:tblPr>
        <w:tblStyle w:val="TableGrid"/>
        <w:tblW w:w="0" w:type="auto"/>
        <w:tblLook w:val="04A0" w:firstRow="1" w:lastRow="0" w:firstColumn="1" w:lastColumn="0" w:noHBand="0" w:noVBand="1"/>
      </w:tblPr>
      <w:tblGrid>
        <w:gridCol w:w="5665"/>
        <w:gridCol w:w="1276"/>
        <w:gridCol w:w="1276"/>
        <w:gridCol w:w="6946"/>
      </w:tblGrid>
      <w:tr w:rsidR="009E6233" w14:paraId="05B558D3" w14:textId="77777777" w:rsidTr="578E52DF">
        <w:tc>
          <w:tcPr>
            <w:tcW w:w="5665" w:type="dxa"/>
            <w:shd w:val="clear" w:color="auto" w:fill="DAE9F7" w:themeFill="text2" w:themeFillTint="1A"/>
            <w:vAlign w:val="center"/>
          </w:tcPr>
          <w:p w14:paraId="34444CB4" w14:textId="05F6B6F9" w:rsidR="009E6233" w:rsidRPr="009E6233" w:rsidRDefault="009E6233" w:rsidP="00D97354">
            <w:pPr>
              <w:jc w:val="center"/>
              <w:rPr>
                <w:b/>
                <w:bCs/>
                <w:sz w:val="20"/>
                <w:szCs w:val="20"/>
              </w:rPr>
            </w:pPr>
            <w:r w:rsidRPr="009E6233">
              <w:rPr>
                <w:b/>
                <w:bCs/>
                <w:sz w:val="20"/>
                <w:szCs w:val="20"/>
              </w:rPr>
              <w:t>Learning Outcome</w:t>
            </w:r>
          </w:p>
        </w:tc>
        <w:tc>
          <w:tcPr>
            <w:tcW w:w="1276" w:type="dxa"/>
            <w:shd w:val="clear" w:color="auto" w:fill="DAE9F7" w:themeFill="text2" w:themeFillTint="1A"/>
            <w:vAlign w:val="center"/>
          </w:tcPr>
          <w:p w14:paraId="3B3F60D8" w14:textId="26CABE8E" w:rsidR="009E6233" w:rsidRPr="009E6233" w:rsidRDefault="009E6233" w:rsidP="00D97354">
            <w:pPr>
              <w:jc w:val="center"/>
              <w:rPr>
                <w:b/>
                <w:bCs/>
                <w:sz w:val="20"/>
                <w:szCs w:val="20"/>
              </w:rPr>
            </w:pPr>
            <w:r w:rsidRPr="009E6233">
              <w:rPr>
                <w:b/>
                <w:bCs/>
                <w:sz w:val="20"/>
                <w:szCs w:val="20"/>
              </w:rPr>
              <w:t>Before the course</w:t>
            </w:r>
          </w:p>
        </w:tc>
        <w:tc>
          <w:tcPr>
            <w:tcW w:w="1276" w:type="dxa"/>
            <w:shd w:val="clear" w:color="auto" w:fill="DAE9F7" w:themeFill="text2" w:themeFillTint="1A"/>
            <w:vAlign w:val="center"/>
          </w:tcPr>
          <w:p w14:paraId="097314F1" w14:textId="77E8D38E" w:rsidR="009E6233" w:rsidRPr="009E6233" w:rsidRDefault="009E6233" w:rsidP="00D97354">
            <w:pPr>
              <w:jc w:val="center"/>
              <w:rPr>
                <w:b/>
                <w:bCs/>
                <w:sz w:val="20"/>
                <w:szCs w:val="20"/>
              </w:rPr>
            </w:pPr>
            <w:r w:rsidRPr="009E6233">
              <w:rPr>
                <w:b/>
                <w:bCs/>
                <w:sz w:val="20"/>
                <w:szCs w:val="20"/>
              </w:rPr>
              <w:t>After the course</w:t>
            </w:r>
          </w:p>
        </w:tc>
        <w:tc>
          <w:tcPr>
            <w:tcW w:w="6946" w:type="dxa"/>
            <w:shd w:val="clear" w:color="auto" w:fill="DAE9F7" w:themeFill="text2" w:themeFillTint="1A"/>
            <w:vAlign w:val="center"/>
          </w:tcPr>
          <w:p w14:paraId="1EF70631" w14:textId="3F1B96A8" w:rsidR="009E6233" w:rsidRPr="009E6233" w:rsidRDefault="009E6233" w:rsidP="00D97354">
            <w:pPr>
              <w:jc w:val="center"/>
              <w:rPr>
                <w:b/>
                <w:bCs/>
                <w:sz w:val="20"/>
                <w:szCs w:val="20"/>
              </w:rPr>
            </w:pPr>
            <w:r w:rsidRPr="009E6233">
              <w:rPr>
                <w:b/>
                <w:bCs/>
                <w:sz w:val="20"/>
                <w:szCs w:val="20"/>
              </w:rPr>
              <w:t>Please write a reflection of what you will take away from each outcome</w:t>
            </w:r>
          </w:p>
        </w:tc>
      </w:tr>
      <w:tr w:rsidR="009E6233" w14:paraId="68A315CA" w14:textId="77777777" w:rsidTr="578E52DF">
        <w:trPr>
          <w:trHeight w:val="998"/>
        </w:trPr>
        <w:tc>
          <w:tcPr>
            <w:tcW w:w="5665" w:type="dxa"/>
            <w:vAlign w:val="center"/>
          </w:tcPr>
          <w:p w14:paraId="4815F5A5" w14:textId="1A9BFAA0" w:rsidR="009E6233" w:rsidRPr="0030543B" w:rsidRDefault="00A8472E" w:rsidP="00D97354">
            <w:pPr>
              <w:pStyle w:val="ListParagraph"/>
              <w:numPr>
                <w:ilvl w:val="0"/>
                <w:numId w:val="2"/>
              </w:numPr>
              <w:rPr>
                <w:sz w:val="20"/>
                <w:szCs w:val="20"/>
              </w:rPr>
            </w:pPr>
            <w:r>
              <w:rPr>
                <w:sz w:val="20"/>
                <w:szCs w:val="20"/>
              </w:rPr>
              <w:t xml:space="preserve">You </w:t>
            </w:r>
            <w:r w:rsidRPr="00A8472E">
              <w:rPr>
                <w:sz w:val="20"/>
                <w:szCs w:val="20"/>
              </w:rPr>
              <w:t>can analyse theories and evidence relating to the psychological impact and responses to illness and loss and integrate this knowledge in the assessment and management strategies within clinical practice.</w:t>
            </w:r>
          </w:p>
        </w:tc>
        <w:tc>
          <w:tcPr>
            <w:tcW w:w="1276" w:type="dxa"/>
          </w:tcPr>
          <w:p w14:paraId="0D7DA75E" w14:textId="77777777" w:rsidR="009E6233" w:rsidRPr="0030543B" w:rsidRDefault="009E6233" w:rsidP="0030543B">
            <w:pPr>
              <w:jc w:val="center"/>
            </w:pPr>
          </w:p>
        </w:tc>
        <w:tc>
          <w:tcPr>
            <w:tcW w:w="1276" w:type="dxa"/>
          </w:tcPr>
          <w:p w14:paraId="288A6E42" w14:textId="77777777" w:rsidR="009E6233" w:rsidRPr="0030543B" w:rsidRDefault="009E6233" w:rsidP="0030543B">
            <w:pPr>
              <w:jc w:val="center"/>
            </w:pPr>
          </w:p>
        </w:tc>
        <w:tc>
          <w:tcPr>
            <w:tcW w:w="6946" w:type="dxa"/>
          </w:tcPr>
          <w:p w14:paraId="61B49ACA" w14:textId="77777777" w:rsidR="009E6233" w:rsidRPr="0030543B" w:rsidRDefault="009E6233" w:rsidP="0030543B">
            <w:pPr>
              <w:jc w:val="center"/>
            </w:pPr>
          </w:p>
        </w:tc>
      </w:tr>
      <w:tr w:rsidR="009E6233" w14:paraId="6B14B411" w14:textId="77777777" w:rsidTr="578E52DF">
        <w:trPr>
          <w:trHeight w:val="984"/>
        </w:trPr>
        <w:tc>
          <w:tcPr>
            <w:tcW w:w="5665" w:type="dxa"/>
            <w:vAlign w:val="center"/>
          </w:tcPr>
          <w:p w14:paraId="5387E17D" w14:textId="5EB075F9" w:rsidR="009E6233" w:rsidRPr="0030543B" w:rsidRDefault="00515D4E" w:rsidP="00D97354">
            <w:pPr>
              <w:pStyle w:val="ListParagraph"/>
              <w:numPr>
                <w:ilvl w:val="0"/>
                <w:numId w:val="2"/>
              </w:numPr>
              <w:rPr>
                <w:sz w:val="20"/>
                <w:szCs w:val="20"/>
              </w:rPr>
            </w:pPr>
            <w:r>
              <w:rPr>
                <w:sz w:val="20"/>
                <w:szCs w:val="20"/>
              </w:rPr>
              <w:t xml:space="preserve">You </w:t>
            </w:r>
            <w:r w:rsidRPr="00515D4E">
              <w:rPr>
                <w:sz w:val="20"/>
                <w:szCs w:val="20"/>
              </w:rPr>
              <w:t>apply general principles of pharmacodynamics and pharmacokinetics and, for drugs commonly used in palliative and end of life care, explain: Routes of administration, absorption, metabolism, excretion, half-life, frequency of administration, adverse effects and their management, opioid switching, use of syringe drivers, interactions with other drugs, issues of tolerance addiction, dependence and discontinuation reactions dose adjustment in altered metabolism, organ failure, disease progression and in dying patients</w:t>
            </w:r>
          </w:p>
        </w:tc>
        <w:tc>
          <w:tcPr>
            <w:tcW w:w="1276" w:type="dxa"/>
          </w:tcPr>
          <w:p w14:paraId="1EE262F6" w14:textId="77777777" w:rsidR="009E6233" w:rsidRPr="0030543B" w:rsidRDefault="009E6233" w:rsidP="0030543B">
            <w:pPr>
              <w:jc w:val="center"/>
            </w:pPr>
          </w:p>
        </w:tc>
        <w:tc>
          <w:tcPr>
            <w:tcW w:w="1276" w:type="dxa"/>
          </w:tcPr>
          <w:p w14:paraId="6DFB3614" w14:textId="77777777" w:rsidR="009E6233" w:rsidRPr="0030543B" w:rsidRDefault="009E6233" w:rsidP="0030543B">
            <w:pPr>
              <w:jc w:val="center"/>
            </w:pPr>
          </w:p>
        </w:tc>
        <w:tc>
          <w:tcPr>
            <w:tcW w:w="6946" w:type="dxa"/>
          </w:tcPr>
          <w:p w14:paraId="59569EBE" w14:textId="77777777" w:rsidR="009E6233" w:rsidRPr="0030543B" w:rsidRDefault="009E6233" w:rsidP="0030543B">
            <w:pPr>
              <w:jc w:val="center"/>
            </w:pPr>
          </w:p>
        </w:tc>
      </w:tr>
      <w:tr w:rsidR="009E6233" w14:paraId="678B4BFE" w14:textId="77777777" w:rsidTr="578E52DF">
        <w:trPr>
          <w:trHeight w:val="983"/>
        </w:trPr>
        <w:tc>
          <w:tcPr>
            <w:tcW w:w="5665" w:type="dxa"/>
            <w:vAlign w:val="center"/>
          </w:tcPr>
          <w:p w14:paraId="144CD03D" w14:textId="4B0D582A" w:rsidR="009E6233" w:rsidRPr="0030543B" w:rsidRDefault="00836995" w:rsidP="00D97354">
            <w:pPr>
              <w:pStyle w:val="ListParagraph"/>
              <w:numPr>
                <w:ilvl w:val="0"/>
                <w:numId w:val="2"/>
              </w:numPr>
              <w:rPr>
                <w:sz w:val="20"/>
                <w:szCs w:val="20"/>
              </w:rPr>
            </w:pPr>
            <w:r>
              <w:rPr>
                <w:sz w:val="20"/>
                <w:szCs w:val="20"/>
              </w:rPr>
              <w:t xml:space="preserve">You can </w:t>
            </w:r>
            <w:r w:rsidRPr="00836995">
              <w:rPr>
                <w:sz w:val="20"/>
                <w:szCs w:val="20"/>
              </w:rPr>
              <w:t>demonstrate knowledge of the principles of rehabilitation in progressive illness and the skills to appropriately initiate rehabilitation for patients with palliative/end of life care needs</w:t>
            </w:r>
          </w:p>
        </w:tc>
        <w:tc>
          <w:tcPr>
            <w:tcW w:w="1276" w:type="dxa"/>
          </w:tcPr>
          <w:p w14:paraId="61DD628A" w14:textId="77777777" w:rsidR="009E6233" w:rsidRPr="0030543B" w:rsidRDefault="009E6233" w:rsidP="0030543B">
            <w:pPr>
              <w:jc w:val="center"/>
            </w:pPr>
          </w:p>
        </w:tc>
        <w:tc>
          <w:tcPr>
            <w:tcW w:w="1276" w:type="dxa"/>
          </w:tcPr>
          <w:p w14:paraId="051A32AF" w14:textId="77777777" w:rsidR="009E6233" w:rsidRPr="0030543B" w:rsidRDefault="009E6233" w:rsidP="0030543B">
            <w:pPr>
              <w:jc w:val="center"/>
            </w:pPr>
          </w:p>
        </w:tc>
        <w:tc>
          <w:tcPr>
            <w:tcW w:w="6946" w:type="dxa"/>
          </w:tcPr>
          <w:p w14:paraId="5917224A" w14:textId="77777777" w:rsidR="009E6233" w:rsidRPr="0030543B" w:rsidRDefault="009E6233" w:rsidP="0030543B">
            <w:pPr>
              <w:jc w:val="center"/>
            </w:pPr>
          </w:p>
        </w:tc>
      </w:tr>
      <w:tr w:rsidR="009E6233" w14:paraId="15B86FB0" w14:textId="77777777" w:rsidTr="578E52DF">
        <w:trPr>
          <w:trHeight w:val="970"/>
        </w:trPr>
        <w:tc>
          <w:tcPr>
            <w:tcW w:w="5665" w:type="dxa"/>
            <w:vAlign w:val="center"/>
          </w:tcPr>
          <w:p w14:paraId="65EF4AAE" w14:textId="2560B36A" w:rsidR="009E6233" w:rsidRPr="0030543B" w:rsidRDefault="00311006" w:rsidP="00D97354">
            <w:pPr>
              <w:pStyle w:val="ListParagraph"/>
              <w:numPr>
                <w:ilvl w:val="0"/>
                <w:numId w:val="2"/>
              </w:numPr>
              <w:rPr>
                <w:sz w:val="20"/>
                <w:szCs w:val="20"/>
              </w:rPr>
            </w:pPr>
            <w:r>
              <w:rPr>
                <w:sz w:val="20"/>
                <w:szCs w:val="20"/>
              </w:rPr>
              <w:t xml:space="preserve">You </w:t>
            </w:r>
            <w:r w:rsidRPr="00311006">
              <w:rPr>
                <w:sz w:val="20"/>
                <w:szCs w:val="20"/>
              </w:rPr>
              <w:t>can analyse the overall approach of person-centred, value-based practice and how this relates to ethics, law and decision-making in palliative and end of life care</w:t>
            </w:r>
          </w:p>
        </w:tc>
        <w:tc>
          <w:tcPr>
            <w:tcW w:w="1276" w:type="dxa"/>
          </w:tcPr>
          <w:p w14:paraId="2810D545" w14:textId="77777777" w:rsidR="009E6233" w:rsidRPr="0030543B" w:rsidRDefault="009E6233" w:rsidP="0030543B">
            <w:pPr>
              <w:jc w:val="center"/>
            </w:pPr>
          </w:p>
        </w:tc>
        <w:tc>
          <w:tcPr>
            <w:tcW w:w="1276" w:type="dxa"/>
          </w:tcPr>
          <w:p w14:paraId="28D28CAA" w14:textId="77777777" w:rsidR="009E6233" w:rsidRPr="0030543B" w:rsidRDefault="009E6233" w:rsidP="0030543B">
            <w:pPr>
              <w:jc w:val="center"/>
            </w:pPr>
          </w:p>
        </w:tc>
        <w:tc>
          <w:tcPr>
            <w:tcW w:w="6946" w:type="dxa"/>
          </w:tcPr>
          <w:p w14:paraId="306B0C02" w14:textId="77777777" w:rsidR="009E6233" w:rsidRPr="0030543B" w:rsidRDefault="009E6233" w:rsidP="0030543B">
            <w:pPr>
              <w:jc w:val="center"/>
            </w:pPr>
          </w:p>
        </w:tc>
      </w:tr>
    </w:tbl>
    <w:p w14:paraId="67BCC9C9" w14:textId="77777777" w:rsidR="00CA0284" w:rsidRDefault="00CA0284" w:rsidP="007770F5"/>
    <w:sectPr w:rsidR="00CA0284" w:rsidSect="00894072">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1BCAE" w14:textId="77777777" w:rsidR="003C7937" w:rsidRDefault="003C7937" w:rsidP="00051288">
      <w:pPr>
        <w:spacing w:after="0" w:line="240" w:lineRule="auto"/>
      </w:pPr>
      <w:r>
        <w:separator/>
      </w:r>
    </w:p>
  </w:endnote>
  <w:endnote w:type="continuationSeparator" w:id="0">
    <w:p w14:paraId="7A11CE49" w14:textId="77777777" w:rsidR="003C7937" w:rsidRDefault="003C7937" w:rsidP="0005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FE3A4" w14:textId="77777777" w:rsidR="003C7937" w:rsidRDefault="003C7937" w:rsidP="00051288">
      <w:pPr>
        <w:spacing w:after="0" w:line="240" w:lineRule="auto"/>
      </w:pPr>
      <w:r>
        <w:separator/>
      </w:r>
    </w:p>
  </w:footnote>
  <w:footnote w:type="continuationSeparator" w:id="0">
    <w:p w14:paraId="7689341E" w14:textId="77777777" w:rsidR="003C7937" w:rsidRDefault="003C7937" w:rsidP="0005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1348" w14:textId="35D226F4" w:rsidR="00051288" w:rsidRPr="00051288" w:rsidRDefault="005257AB" w:rsidP="00051288">
    <w:pPr>
      <w:pStyle w:val="Header"/>
      <w:jc w:val="center"/>
      <w:rPr>
        <w:b/>
        <w:bCs/>
        <w:sz w:val="36"/>
        <w:szCs w:val="36"/>
      </w:rPr>
    </w:pPr>
    <w:r>
      <w:rPr>
        <w:b/>
        <w:bCs/>
        <w:noProof/>
        <w:sz w:val="36"/>
        <w:szCs w:val="36"/>
      </w:rPr>
      <w:drawing>
        <wp:anchor distT="0" distB="0" distL="114300" distR="114300" simplePos="0" relativeHeight="251658240" behindDoc="0" locked="0" layoutInCell="1" allowOverlap="1" wp14:anchorId="439700C0" wp14:editId="75CEA083">
          <wp:simplePos x="0" y="0"/>
          <wp:positionH relativeFrom="column">
            <wp:posOffset>8505278</wp:posOffset>
          </wp:positionH>
          <wp:positionV relativeFrom="paragraph">
            <wp:posOffset>-332439</wp:posOffset>
          </wp:positionV>
          <wp:extent cx="1645920" cy="670560"/>
          <wp:effectExtent l="0" t="0" r="0" b="0"/>
          <wp:wrapSquare wrapText="bothSides"/>
          <wp:docPr id="21651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670560"/>
                  </a:xfrm>
                  <a:prstGeom prst="rect">
                    <a:avLst/>
                  </a:prstGeom>
                  <a:noFill/>
                </pic:spPr>
              </pic:pic>
            </a:graphicData>
          </a:graphic>
        </wp:anchor>
      </w:drawing>
    </w:r>
    <w:r w:rsidR="00051288" w:rsidRPr="00051288">
      <w:rPr>
        <w:b/>
        <w:bCs/>
        <w:sz w:val="36"/>
        <w:szCs w:val="36"/>
      </w:rPr>
      <w:t>Pre &amp; Post Knowledge Assessment</w:t>
    </w:r>
    <w:r w:rsidR="00051288">
      <w:rPr>
        <w:b/>
        <w:bCs/>
        <w:sz w:val="36"/>
        <w:szCs w:val="36"/>
      </w:rPr>
      <w:t xml:space="preserve"> –</w:t>
    </w:r>
    <w:r w:rsidR="00471D15">
      <w:rPr>
        <w:b/>
        <w:bCs/>
        <w:sz w:val="36"/>
        <w:szCs w:val="36"/>
      </w:rPr>
      <w:t xml:space="preserve"> </w:t>
    </w:r>
    <w:r w:rsidR="001C6C13">
      <w:rPr>
        <w:b/>
        <w:bCs/>
        <w:sz w:val="36"/>
        <w:szCs w:val="36"/>
      </w:rPr>
      <w:t>End of Life</w:t>
    </w:r>
    <w:r w:rsidR="00471D15" w:rsidRPr="00471D15">
      <w:rPr>
        <w:b/>
        <w:bCs/>
        <w:sz w:val="36"/>
        <w:szCs w:val="36"/>
      </w:rPr>
      <w:t xml:space="preserve"> </w:t>
    </w:r>
    <w:r w:rsidR="00051288">
      <w:rPr>
        <w:b/>
        <w:bCs/>
        <w:sz w:val="36"/>
        <w:szCs w:val="36"/>
      </w:rPr>
      <w:t>A</w:t>
    </w:r>
    <w:r w:rsidR="00DA077A">
      <w:rPr>
        <w:b/>
        <w:bCs/>
        <w:sz w:val="36"/>
        <w:szCs w:val="36"/>
      </w:rPr>
      <w:t>dvanced</w:t>
    </w:r>
    <w:r w:rsidR="00051288">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03EF"/>
    <w:multiLevelType w:val="hybridMultilevel"/>
    <w:tmpl w:val="23EA0CF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E8779F"/>
    <w:multiLevelType w:val="hybridMultilevel"/>
    <w:tmpl w:val="A3C8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91173">
    <w:abstractNumId w:val="1"/>
  </w:num>
  <w:num w:numId="2" w16cid:durableId="44030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88"/>
    <w:rsid w:val="00042BD8"/>
    <w:rsid w:val="00051288"/>
    <w:rsid w:val="000922CF"/>
    <w:rsid w:val="00110B44"/>
    <w:rsid w:val="00164232"/>
    <w:rsid w:val="001755F6"/>
    <w:rsid w:val="0019424C"/>
    <w:rsid w:val="001C6C13"/>
    <w:rsid w:val="001D2589"/>
    <w:rsid w:val="001E1E68"/>
    <w:rsid w:val="00256D00"/>
    <w:rsid w:val="002A721B"/>
    <w:rsid w:val="0030543B"/>
    <w:rsid w:val="00311006"/>
    <w:rsid w:val="00314A15"/>
    <w:rsid w:val="0036392D"/>
    <w:rsid w:val="0037307E"/>
    <w:rsid w:val="003924C0"/>
    <w:rsid w:val="003C7937"/>
    <w:rsid w:val="003D1600"/>
    <w:rsid w:val="003F5B5E"/>
    <w:rsid w:val="004016A3"/>
    <w:rsid w:val="00430E12"/>
    <w:rsid w:val="00471D15"/>
    <w:rsid w:val="00490A6F"/>
    <w:rsid w:val="004F3243"/>
    <w:rsid w:val="00515D4E"/>
    <w:rsid w:val="005257AB"/>
    <w:rsid w:val="00532215"/>
    <w:rsid w:val="00555C81"/>
    <w:rsid w:val="005B6551"/>
    <w:rsid w:val="006127E0"/>
    <w:rsid w:val="006216C7"/>
    <w:rsid w:val="006C0D83"/>
    <w:rsid w:val="00704AF8"/>
    <w:rsid w:val="007710A2"/>
    <w:rsid w:val="00775A3D"/>
    <w:rsid w:val="007770F5"/>
    <w:rsid w:val="007B0A84"/>
    <w:rsid w:val="007F7619"/>
    <w:rsid w:val="00806D8D"/>
    <w:rsid w:val="00813BE7"/>
    <w:rsid w:val="00825DC1"/>
    <w:rsid w:val="00836995"/>
    <w:rsid w:val="0084593B"/>
    <w:rsid w:val="00870D9F"/>
    <w:rsid w:val="00894072"/>
    <w:rsid w:val="008D41D6"/>
    <w:rsid w:val="009E6233"/>
    <w:rsid w:val="00A8472E"/>
    <w:rsid w:val="00AA466B"/>
    <w:rsid w:val="00B548AE"/>
    <w:rsid w:val="00C558AF"/>
    <w:rsid w:val="00C842B8"/>
    <w:rsid w:val="00CA0284"/>
    <w:rsid w:val="00CC5987"/>
    <w:rsid w:val="00CD567A"/>
    <w:rsid w:val="00D97354"/>
    <w:rsid w:val="00DA0060"/>
    <w:rsid w:val="00DA077A"/>
    <w:rsid w:val="00DA2229"/>
    <w:rsid w:val="00DE2883"/>
    <w:rsid w:val="00DE7177"/>
    <w:rsid w:val="00E92FD2"/>
    <w:rsid w:val="00F12633"/>
    <w:rsid w:val="00F41121"/>
    <w:rsid w:val="00F426FD"/>
    <w:rsid w:val="00F46926"/>
    <w:rsid w:val="00F755A1"/>
    <w:rsid w:val="00F87A40"/>
    <w:rsid w:val="00FF6E22"/>
    <w:rsid w:val="0C2050AA"/>
    <w:rsid w:val="578E5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9CDB"/>
  <w15:chartTrackingRefBased/>
  <w15:docId w15:val="{6016C28C-14FE-42AA-94E2-E21CC0E1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288"/>
    <w:rPr>
      <w:rFonts w:eastAsiaTheme="majorEastAsia" w:cstheme="majorBidi"/>
      <w:color w:val="272727" w:themeColor="text1" w:themeTint="D8"/>
    </w:rPr>
  </w:style>
  <w:style w:type="paragraph" w:styleId="Title">
    <w:name w:val="Title"/>
    <w:basedOn w:val="Normal"/>
    <w:next w:val="Normal"/>
    <w:link w:val="TitleChar"/>
    <w:uiPriority w:val="10"/>
    <w:qFormat/>
    <w:rsid w:val="00051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288"/>
    <w:pPr>
      <w:spacing w:before="160"/>
      <w:jc w:val="center"/>
    </w:pPr>
    <w:rPr>
      <w:i/>
      <w:iCs/>
      <w:color w:val="404040" w:themeColor="text1" w:themeTint="BF"/>
    </w:rPr>
  </w:style>
  <w:style w:type="character" w:customStyle="1" w:styleId="QuoteChar">
    <w:name w:val="Quote Char"/>
    <w:basedOn w:val="DefaultParagraphFont"/>
    <w:link w:val="Quote"/>
    <w:uiPriority w:val="29"/>
    <w:rsid w:val="00051288"/>
    <w:rPr>
      <w:i/>
      <w:iCs/>
      <w:color w:val="404040" w:themeColor="text1" w:themeTint="BF"/>
    </w:rPr>
  </w:style>
  <w:style w:type="paragraph" w:styleId="ListParagraph">
    <w:name w:val="List Paragraph"/>
    <w:basedOn w:val="Normal"/>
    <w:uiPriority w:val="34"/>
    <w:qFormat/>
    <w:rsid w:val="00051288"/>
    <w:pPr>
      <w:ind w:left="720"/>
      <w:contextualSpacing/>
    </w:pPr>
  </w:style>
  <w:style w:type="character" w:styleId="IntenseEmphasis">
    <w:name w:val="Intense Emphasis"/>
    <w:basedOn w:val="DefaultParagraphFont"/>
    <w:uiPriority w:val="21"/>
    <w:qFormat/>
    <w:rsid w:val="00051288"/>
    <w:rPr>
      <w:i/>
      <w:iCs/>
      <w:color w:val="0F4761" w:themeColor="accent1" w:themeShade="BF"/>
    </w:rPr>
  </w:style>
  <w:style w:type="paragraph" w:styleId="IntenseQuote">
    <w:name w:val="Intense Quote"/>
    <w:basedOn w:val="Normal"/>
    <w:next w:val="Normal"/>
    <w:link w:val="IntenseQuoteChar"/>
    <w:uiPriority w:val="30"/>
    <w:qFormat/>
    <w:rsid w:val="00051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288"/>
    <w:rPr>
      <w:i/>
      <w:iCs/>
      <w:color w:val="0F4761" w:themeColor="accent1" w:themeShade="BF"/>
    </w:rPr>
  </w:style>
  <w:style w:type="character" w:styleId="IntenseReference">
    <w:name w:val="Intense Reference"/>
    <w:basedOn w:val="DefaultParagraphFont"/>
    <w:uiPriority w:val="32"/>
    <w:qFormat/>
    <w:rsid w:val="00051288"/>
    <w:rPr>
      <w:b/>
      <w:bCs/>
      <w:smallCaps/>
      <w:color w:val="0F4761" w:themeColor="accent1" w:themeShade="BF"/>
      <w:spacing w:val="5"/>
    </w:rPr>
  </w:style>
  <w:style w:type="paragraph" w:styleId="Header">
    <w:name w:val="header"/>
    <w:basedOn w:val="Normal"/>
    <w:link w:val="HeaderChar"/>
    <w:uiPriority w:val="99"/>
    <w:unhideWhenUsed/>
    <w:rsid w:val="00051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288"/>
  </w:style>
  <w:style w:type="paragraph" w:styleId="Footer">
    <w:name w:val="footer"/>
    <w:basedOn w:val="Normal"/>
    <w:link w:val="FooterChar"/>
    <w:uiPriority w:val="99"/>
    <w:unhideWhenUsed/>
    <w:rsid w:val="00051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288"/>
  </w:style>
  <w:style w:type="table" w:styleId="TableGrid">
    <w:name w:val="Table Grid"/>
    <w:basedOn w:val="TableNormal"/>
    <w:uiPriority w:val="39"/>
    <w:rsid w:val="00CA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85f524-339d-45ca-9da7-64c489cfedba" xsi:nil="true"/>
    <lcf76f155ced4ddcb4097134ff3c332f xmlns="03be420c-4ca8-4fea-b29b-f5a117cd339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F654456C4F0E4188D4EB9880E9A95A" ma:contentTypeVersion="18" ma:contentTypeDescription="Create a new document." ma:contentTypeScope="" ma:versionID="52a2b1d83572a6e1afefcee24e121f11">
  <xsd:schema xmlns:xsd="http://www.w3.org/2001/XMLSchema" xmlns:xs="http://www.w3.org/2001/XMLSchema" xmlns:p="http://schemas.microsoft.com/office/2006/metadata/properties" xmlns:ns2="03be420c-4ca8-4fea-b29b-f5a117cd3398" xmlns:ns3="bd85f524-339d-45ca-9da7-64c489cfedba" targetNamespace="http://schemas.microsoft.com/office/2006/metadata/properties" ma:root="true" ma:fieldsID="c0e2277776acd9dd7f07f3b556db6ae0" ns2:_="" ns3:_="">
    <xsd:import namespace="03be420c-4ca8-4fea-b29b-f5a117cd3398"/>
    <xsd:import namespace="bd85f524-339d-45ca-9da7-64c489cfed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e420c-4ca8-4fea-b29b-f5a117cd3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61e8d4-cb61-42a0-b593-48787eaf65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5f524-339d-45ca-9da7-64c489cfed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15a401-8650-4305-8dea-5d776329bbdf}" ma:internalName="TaxCatchAll" ma:showField="CatchAllData" ma:web="bd85f524-339d-45ca-9da7-64c489cfe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379D7-9BB8-4DB7-B6F9-FE5ED0D4B338}">
  <ds:schemaRefs>
    <ds:schemaRef ds:uri="http://schemas.openxmlformats.org/officeDocument/2006/bibliography"/>
  </ds:schemaRefs>
</ds:datastoreItem>
</file>

<file path=customXml/itemProps2.xml><?xml version="1.0" encoding="utf-8"?>
<ds:datastoreItem xmlns:ds="http://schemas.openxmlformats.org/officeDocument/2006/customXml" ds:itemID="{A49777FB-D2B2-4E16-947A-9F4A152B49DE}">
  <ds:schemaRefs>
    <ds:schemaRef ds:uri="http://schemas.microsoft.com/sharepoint/v3/contenttype/forms"/>
  </ds:schemaRefs>
</ds:datastoreItem>
</file>

<file path=customXml/itemProps3.xml><?xml version="1.0" encoding="utf-8"?>
<ds:datastoreItem xmlns:ds="http://schemas.openxmlformats.org/officeDocument/2006/customXml" ds:itemID="{B6CB4E8F-3D57-47FE-9BBB-71B6AEFE46E8}">
  <ds:schemaRefs>
    <ds:schemaRef ds:uri="http://schemas.microsoft.com/office/2006/metadata/properties"/>
    <ds:schemaRef ds:uri="http://schemas.microsoft.com/office/infopath/2007/PartnerControls"/>
    <ds:schemaRef ds:uri="bd85f524-339d-45ca-9da7-64c489cfedba"/>
    <ds:schemaRef ds:uri="03be420c-4ca8-4fea-b29b-f5a117cd3398"/>
  </ds:schemaRefs>
</ds:datastoreItem>
</file>

<file path=customXml/itemProps4.xml><?xml version="1.0" encoding="utf-8"?>
<ds:datastoreItem xmlns:ds="http://schemas.openxmlformats.org/officeDocument/2006/customXml" ds:itemID="{63269FC2-CE3A-4EB0-8593-A2826FB18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e420c-4ca8-4fea-b29b-f5a117cd3398"/>
    <ds:schemaRef ds:uri="bd85f524-339d-45ca-9da7-64c489cfe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1258</Characters>
  <Application>Microsoft Office Word</Application>
  <DocSecurity>0</DocSecurity>
  <Lines>10</Lines>
  <Paragraphs>2</Paragraphs>
  <ScaleCrop>false</ScaleCrop>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Reed</dc:creator>
  <cp:keywords/>
  <dc:description/>
  <cp:lastModifiedBy>Leigh-Ann Reed</cp:lastModifiedBy>
  <cp:revision>29</cp:revision>
  <dcterms:created xsi:type="dcterms:W3CDTF">2024-09-27T12:54:00Z</dcterms:created>
  <dcterms:modified xsi:type="dcterms:W3CDTF">2024-09-30T13:54:00Z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0x01010011F654456C4F0E4188D4EB9880E9A95A</vt:lpwstr>
  </property>
  <property fmtid="{D5CDD505-2E9C-101B-9397-08002B2CF9AE}" pid="3" name="MediaServiceImageTags">
    <vt:lpwstr/>
  </property>
</Properties>
</file>